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F38588" w14:textId="77777777" w:rsidR="005D094B" w:rsidRPr="00BF5F0C" w:rsidRDefault="005D094B" w:rsidP="005D094B">
      <w:pPr>
        <w:spacing w:after="0" w:line="240" w:lineRule="auto"/>
        <w:jc w:val="center"/>
        <w:rPr>
          <w:rFonts w:ascii="Arial" w:hAnsi="Arial" w:cs="Arial"/>
          <w:b/>
        </w:rPr>
      </w:pPr>
      <w:r w:rsidRPr="00BF5F0C">
        <w:rPr>
          <w:rFonts w:ascii="Arial" w:hAnsi="Arial" w:cs="Arial"/>
          <w:b/>
        </w:rPr>
        <w:t>JUNTA OBLIGATORIA ANUAL DE ACCIONISTAS NO PRESENCIAL</w:t>
      </w:r>
    </w:p>
    <w:p w14:paraId="7D74A862" w14:textId="77777777" w:rsidR="005D094B" w:rsidRPr="00BF5F0C" w:rsidRDefault="005D094B" w:rsidP="005D094B">
      <w:pPr>
        <w:spacing w:after="0" w:line="240" w:lineRule="auto"/>
        <w:jc w:val="center"/>
        <w:rPr>
          <w:rFonts w:ascii="Arial" w:hAnsi="Arial" w:cs="Arial"/>
          <w:b/>
        </w:rPr>
      </w:pPr>
      <w:r w:rsidRPr="00BF5F0C">
        <w:rPr>
          <w:rFonts w:ascii="Arial" w:hAnsi="Arial" w:cs="Arial"/>
          <w:b/>
        </w:rPr>
        <w:t>AZZARO TRADING S.A.</w:t>
      </w:r>
    </w:p>
    <w:p w14:paraId="7F6CBDA5" w14:textId="77777777" w:rsidR="005D094B" w:rsidRPr="00BF5F0C" w:rsidRDefault="005D094B" w:rsidP="005D094B">
      <w:pPr>
        <w:spacing w:after="0" w:line="240" w:lineRule="auto"/>
        <w:jc w:val="center"/>
        <w:rPr>
          <w:rFonts w:ascii="Arial" w:hAnsi="Arial" w:cs="Arial"/>
          <w:b/>
        </w:rPr>
      </w:pPr>
    </w:p>
    <w:p w14:paraId="09B46180" w14:textId="1A3312D5" w:rsidR="005D094B" w:rsidRPr="00BF5F0C" w:rsidRDefault="005D094B" w:rsidP="005D094B">
      <w:pPr>
        <w:spacing w:after="0" w:line="240" w:lineRule="auto"/>
        <w:jc w:val="center"/>
        <w:rPr>
          <w:rFonts w:ascii="Arial" w:hAnsi="Arial" w:cs="Arial"/>
          <w:b/>
        </w:rPr>
      </w:pPr>
      <w:r w:rsidRPr="00BF5F0C">
        <w:rPr>
          <w:rFonts w:ascii="Arial" w:hAnsi="Arial" w:cs="Arial"/>
          <w:b/>
        </w:rPr>
        <w:t xml:space="preserve">Primera Convocatoria: </w:t>
      </w:r>
      <w:r w:rsidR="00C81F81">
        <w:rPr>
          <w:rFonts w:ascii="Arial" w:hAnsi="Arial" w:cs="Arial"/>
          <w:b/>
        </w:rPr>
        <w:t>1</w:t>
      </w:r>
      <w:r w:rsidR="00755199" w:rsidRPr="00BF5F0C">
        <w:rPr>
          <w:rFonts w:ascii="Arial" w:hAnsi="Arial" w:cs="Arial"/>
          <w:b/>
        </w:rPr>
        <w:t xml:space="preserve"> </w:t>
      </w:r>
      <w:r w:rsidRPr="00BF5F0C">
        <w:rPr>
          <w:rFonts w:ascii="Arial" w:hAnsi="Arial" w:cs="Arial"/>
          <w:b/>
        </w:rPr>
        <w:t xml:space="preserve">de </w:t>
      </w:r>
      <w:r w:rsidR="00C81F81">
        <w:rPr>
          <w:rFonts w:ascii="Arial" w:hAnsi="Arial" w:cs="Arial"/>
          <w:b/>
        </w:rPr>
        <w:t>abril</w:t>
      </w:r>
      <w:r w:rsidRPr="00BF5F0C">
        <w:rPr>
          <w:rFonts w:ascii="Arial" w:hAnsi="Arial" w:cs="Arial"/>
          <w:b/>
        </w:rPr>
        <w:t xml:space="preserve"> de 202</w:t>
      </w:r>
      <w:r w:rsidR="003E5EF3">
        <w:rPr>
          <w:rFonts w:ascii="Arial" w:hAnsi="Arial" w:cs="Arial"/>
          <w:b/>
        </w:rPr>
        <w:t>4</w:t>
      </w:r>
      <w:r w:rsidRPr="00BF5F0C">
        <w:rPr>
          <w:rFonts w:ascii="Arial" w:hAnsi="Arial" w:cs="Arial"/>
          <w:b/>
        </w:rPr>
        <w:t xml:space="preserve"> a las </w:t>
      </w:r>
      <w:r w:rsidRPr="00BF5F0C">
        <w:rPr>
          <w:rFonts w:ascii="Arial" w:hAnsi="Arial" w:cs="Arial"/>
          <w:b/>
          <w:bCs/>
        </w:rPr>
        <w:t>1</w:t>
      </w:r>
      <w:r w:rsidR="003E5EF3">
        <w:rPr>
          <w:rFonts w:ascii="Arial" w:hAnsi="Arial" w:cs="Arial"/>
          <w:b/>
          <w:bCs/>
        </w:rPr>
        <w:t>1</w:t>
      </w:r>
      <w:r w:rsidRPr="00BF5F0C">
        <w:rPr>
          <w:rFonts w:ascii="Arial" w:hAnsi="Arial" w:cs="Arial"/>
          <w:b/>
          <w:bCs/>
        </w:rPr>
        <w:t>:00</w:t>
      </w:r>
      <w:r w:rsidR="009D6871">
        <w:rPr>
          <w:rFonts w:ascii="Arial" w:hAnsi="Arial" w:cs="Arial"/>
          <w:b/>
        </w:rPr>
        <w:t xml:space="preserve"> </w:t>
      </w:r>
      <w:r w:rsidRPr="00BF5F0C">
        <w:rPr>
          <w:rFonts w:ascii="Arial" w:hAnsi="Arial" w:cs="Arial"/>
          <w:b/>
        </w:rPr>
        <w:t>horas</w:t>
      </w:r>
    </w:p>
    <w:p w14:paraId="680D1708" w14:textId="12BAD937" w:rsidR="005D094B" w:rsidRPr="00BF5F0C" w:rsidRDefault="005D094B" w:rsidP="005D094B">
      <w:pPr>
        <w:spacing w:after="0" w:line="240" w:lineRule="auto"/>
        <w:jc w:val="center"/>
        <w:rPr>
          <w:rFonts w:ascii="Arial" w:hAnsi="Arial" w:cs="Arial"/>
          <w:b/>
        </w:rPr>
      </w:pPr>
      <w:r w:rsidRPr="00BF5F0C">
        <w:rPr>
          <w:rFonts w:ascii="Arial" w:hAnsi="Arial" w:cs="Arial"/>
          <w:b/>
        </w:rPr>
        <w:t xml:space="preserve">Segunda Convocatoria: </w:t>
      </w:r>
      <w:r w:rsidR="003E5EF3">
        <w:rPr>
          <w:rFonts w:ascii="Arial" w:hAnsi="Arial" w:cs="Arial"/>
          <w:b/>
        </w:rPr>
        <w:t>8</w:t>
      </w:r>
      <w:r w:rsidRPr="00BF5F0C">
        <w:rPr>
          <w:rFonts w:ascii="Arial" w:hAnsi="Arial" w:cs="Arial"/>
          <w:b/>
        </w:rPr>
        <w:t xml:space="preserve"> de </w:t>
      </w:r>
      <w:r w:rsidR="00C81F81">
        <w:rPr>
          <w:rFonts w:ascii="Arial" w:hAnsi="Arial" w:cs="Arial"/>
          <w:b/>
        </w:rPr>
        <w:t>abril</w:t>
      </w:r>
      <w:r w:rsidRPr="00BF5F0C">
        <w:rPr>
          <w:rFonts w:ascii="Arial" w:hAnsi="Arial" w:cs="Arial"/>
          <w:b/>
        </w:rPr>
        <w:t xml:space="preserve"> de 202</w:t>
      </w:r>
      <w:r w:rsidR="003E5EF3">
        <w:rPr>
          <w:rFonts w:ascii="Arial" w:hAnsi="Arial" w:cs="Arial"/>
          <w:b/>
        </w:rPr>
        <w:t>4</w:t>
      </w:r>
      <w:r w:rsidRPr="00BF5F0C">
        <w:rPr>
          <w:rFonts w:ascii="Arial" w:hAnsi="Arial" w:cs="Arial"/>
          <w:b/>
        </w:rPr>
        <w:t xml:space="preserve"> a las </w:t>
      </w:r>
      <w:r w:rsidRPr="00BF5F0C">
        <w:rPr>
          <w:rFonts w:ascii="Arial" w:hAnsi="Arial" w:cs="Arial"/>
          <w:b/>
          <w:bCs/>
        </w:rPr>
        <w:t>1</w:t>
      </w:r>
      <w:r w:rsidR="003E5EF3">
        <w:rPr>
          <w:rFonts w:ascii="Arial" w:hAnsi="Arial" w:cs="Arial"/>
          <w:b/>
          <w:bCs/>
        </w:rPr>
        <w:t>1</w:t>
      </w:r>
      <w:r w:rsidRPr="00BF5F0C">
        <w:rPr>
          <w:rFonts w:ascii="Arial" w:hAnsi="Arial" w:cs="Arial"/>
          <w:b/>
          <w:bCs/>
        </w:rPr>
        <w:t>:00</w:t>
      </w:r>
      <w:r w:rsidRPr="00BF5F0C">
        <w:rPr>
          <w:rFonts w:ascii="Arial" w:hAnsi="Arial" w:cs="Arial"/>
          <w:b/>
        </w:rPr>
        <w:t xml:space="preserve"> horas </w:t>
      </w:r>
    </w:p>
    <w:p w14:paraId="59397C33" w14:textId="77777777" w:rsidR="005D094B" w:rsidRPr="00DE7F62" w:rsidRDefault="005D094B" w:rsidP="005D094B">
      <w:pPr>
        <w:spacing w:line="240" w:lineRule="auto"/>
        <w:rPr>
          <w:rFonts w:ascii="Arial" w:hAnsi="Arial" w:cs="Arial"/>
        </w:rPr>
      </w:pPr>
    </w:p>
    <w:p w14:paraId="0D5E98C2" w14:textId="77777777" w:rsidR="005D094B" w:rsidRPr="00DE7F62" w:rsidRDefault="005D094B" w:rsidP="005D094B">
      <w:pPr>
        <w:spacing w:line="240" w:lineRule="auto"/>
        <w:rPr>
          <w:rFonts w:ascii="Arial" w:hAnsi="Arial" w:cs="Arial"/>
          <w:b/>
          <w:bCs/>
        </w:rPr>
      </w:pPr>
      <w:r w:rsidRPr="00DE7F62">
        <w:rPr>
          <w:rFonts w:ascii="Arial" w:hAnsi="Arial" w:cs="Arial"/>
          <w:b/>
          <w:bCs/>
        </w:rPr>
        <w:t>MOCIÓN N° 01</w:t>
      </w:r>
    </w:p>
    <w:p w14:paraId="0116F0FE" w14:textId="19E81982" w:rsidR="005D094B" w:rsidRPr="00DE7F62" w:rsidRDefault="005D094B" w:rsidP="005D094B">
      <w:pPr>
        <w:spacing w:line="240" w:lineRule="auto"/>
        <w:jc w:val="both"/>
        <w:rPr>
          <w:rFonts w:ascii="Arial" w:hAnsi="Arial" w:cs="Arial"/>
          <w:b/>
          <w:bCs/>
        </w:rPr>
      </w:pPr>
      <w:r w:rsidRPr="00DE7F62">
        <w:rPr>
          <w:rFonts w:ascii="Arial" w:hAnsi="Arial" w:cs="Arial"/>
          <w:b/>
          <w:bCs/>
        </w:rPr>
        <w:t>Aprobación de la gestión social y resultados económicos reflejados en la Memoria Anual y en los Estados Financieros Anuales Individuales Auditados correspondientes al ejercicio económico 202</w:t>
      </w:r>
      <w:r w:rsidR="003E5EF3">
        <w:rPr>
          <w:rFonts w:ascii="Arial" w:hAnsi="Arial" w:cs="Arial"/>
          <w:b/>
          <w:bCs/>
        </w:rPr>
        <w:t>3</w:t>
      </w:r>
      <w:r w:rsidRPr="00DE7F62">
        <w:rPr>
          <w:rFonts w:ascii="Arial" w:hAnsi="Arial" w:cs="Arial"/>
          <w:b/>
          <w:bCs/>
        </w:rPr>
        <w:t>.</w:t>
      </w:r>
    </w:p>
    <w:p w14:paraId="682801AF" w14:textId="77777777" w:rsidR="005D094B" w:rsidRPr="00DE7F62" w:rsidRDefault="005D094B" w:rsidP="005D094B">
      <w:pPr>
        <w:spacing w:line="240" w:lineRule="auto"/>
        <w:rPr>
          <w:rFonts w:ascii="Arial" w:hAnsi="Arial" w:cs="Arial"/>
          <w:b/>
          <w:bCs/>
        </w:rPr>
      </w:pPr>
      <w:r w:rsidRPr="00DE7F62">
        <w:rPr>
          <w:rFonts w:ascii="Arial" w:hAnsi="Arial" w:cs="Arial"/>
          <w:b/>
          <w:bCs/>
        </w:rPr>
        <w:t xml:space="preserve">Considerando: </w:t>
      </w:r>
    </w:p>
    <w:p w14:paraId="61D5865E" w14:textId="7F25A8E9" w:rsidR="005D094B" w:rsidRPr="00DE7F62" w:rsidRDefault="005D094B" w:rsidP="005D094B">
      <w:pPr>
        <w:spacing w:after="0" w:line="240" w:lineRule="auto"/>
        <w:jc w:val="both"/>
        <w:rPr>
          <w:rFonts w:ascii="Arial" w:hAnsi="Arial" w:cs="Arial"/>
        </w:rPr>
      </w:pPr>
      <w:r w:rsidRPr="00DE7F62">
        <w:rPr>
          <w:rFonts w:ascii="Arial" w:hAnsi="Arial" w:cs="Arial"/>
        </w:rPr>
        <w:t>Que, en cumplimiento con lo dispuesto por la Ley General de Sociedades, Ley N° 26887 (“</w:t>
      </w:r>
      <w:r w:rsidRPr="00DE7F62">
        <w:rPr>
          <w:rFonts w:ascii="Arial" w:hAnsi="Arial" w:cs="Arial"/>
          <w:u w:val="single"/>
        </w:rPr>
        <w:t>LGS</w:t>
      </w:r>
      <w:r w:rsidRPr="00DE7F62">
        <w:rPr>
          <w:rFonts w:ascii="Arial" w:hAnsi="Arial" w:cs="Arial"/>
        </w:rPr>
        <w:t>”), y en la Resolución SMV N° 016-2015-SMV-01, mediante la cual se aprobaron las “Normas sobre la preparación y presentación de Estados Financieros y Memoria Anual por parte de las entidades supervisadas por la Superintendencia del Mercado de Valores</w:t>
      </w:r>
      <w:r w:rsidR="00015B6E" w:rsidRPr="00DE7F62">
        <w:rPr>
          <w:rFonts w:ascii="Arial" w:hAnsi="Arial" w:cs="Arial"/>
        </w:rPr>
        <w:t>”</w:t>
      </w:r>
      <w:r w:rsidRPr="00DE7F62">
        <w:rPr>
          <w:rFonts w:ascii="Arial" w:hAnsi="Arial" w:cs="Arial"/>
        </w:rPr>
        <w:t>, el Directorio presentó para consideración de la Junta Obligatoria Anual de Accionistas No Presencial de Azzaro Trading S.A. (la “</w:t>
      </w:r>
      <w:r w:rsidRPr="00DE7F62">
        <w:rPr>
          <w:rFonts w:ascii="Arial" w:hAnsi="Arial" w:cs="Arial"/>
          <w:u w:val="single"/>
        </w:rPr>
        <w:t>Sociedad</w:t>
      </w:r>
      <w:r w:rsidRPr="00DE7F62">
        <w:rPr>
          <w:rFonts w:ascii="Arial" w:hAnsi="Arial" w:cs="Arial"/>
        </w:rPr>
        <w:t>”): (i) la Memoria Anual del ejercicio 202</w:t>
      </w:r>
      <w:r w:rsidR="00B73D95">
        <w:rPr>
          <w:rFonts w:ascii="Arial" w:hAnsi="Arial" w:cs="Arial"/>
        </w:rPr>
        <w:t>3</w:t>
      </w:r>
      <w:r w:rsidRPr="00DE7F62">
        <w:rPr>
          <w:rFonts w:ascii="Arial" w:hAnsi="Arial" w:cs="Arial"/>
        </w:rPr>
        <w:t xml:space="preserve">, y (ii) los Estados Financieros Anuales Individuales Auditados del mismo ejercicio, los mismos que cuentan con un dictamen favorable de los auditores externos, </w:t>
      </w:r>
      <w:r w:rsidR="00325AA4">
        <w:rPr>
          <w:rFonts w:ascii="Arial" w:hAnsi="Arial" w:cs="Arial"/>
        </w:rPr>
        <w:t xml:space="preserve">Gaveglio Aparicio y Asociados Sociedad Civil de Responsabilidad Limitada, firma miembro de </w:t>
      </w:r>
      <w:r w:rsidR="00325AA4" w:rsidRPr="00325AA4">
        <w:rPr>
          <w:rFonts w:ascii="Arial" w:hAnsi="Arial" w:cs="Arial"/>
        </w:rPr>
        <w:t xml:space="preserve"> PriceWaterhouseCoopers</w:t>
      </w:r>
      <w:r w:rsidR="00325AA4">
        <w:rPr>
          <w:rFonts w:ascii="Arial" w:hAnsi="Arial" w:cs="Arial"/>
        </w:rPr>
        <w:t xml:space="preserve"> (PwC).</w:t>
      </w:r>
    </w:p>
    <w:p w14:paraId="5790A9C0" w14:textId="77777777" w:rsidR="005D094B" w:rsidRPr="00DE7F62" w:rsidRDefault="005D094B" w:rsidP="005D094B">
      <w:pPr>
        <w:spacing w:after="0" w:line="240" w:lineRule="auto"/>
        <w:jc w:val="both"/>
        <w:rPr>
          <w:rFonts w:ascii="Arial" w:hAnsi="Arial" w:cs="Arial"/>
        </w:rPr>
      </w:pPr>
    </w:p>
    <w:p w14:paraId="63CD1047" w14:textId="60569951" w:rsidR="005D094B" w:rsidRPr="00DE7F62" w:rsidRDefault="005D094B" w:rsidP="005D094B">
      <w:pPr>
        <w:spacing w:after="0" w:line="240" w:lineRule="auto"/>
        <w:jc w:val="both"/>
        <w:rPr>
          <w:rFonts w:ascii="Arial" w:hAnsi="Arial" w:cs="Arial"/>
        </w:rPr>
      </w:pPr>
      <w:r w:rsidRPr="00DE7F62">
        <w:rPr>
          <w:rFonts w:ascii="Arial" w:hAnsi="Arial" w:cs="Arial"/>
        </w:rPr>
        <w:t>Se deja constancia que la Memoria Anual de la Sociedad correspondiente al ejercicio 202</w:t>
      </w:r>
      <w:r w:rsidR="00DD5574">
        <w:rPr>
          <w:rFonts w:ascii="Arial" w:hAnsi="Arial" w:cs="Arial"/>
        </w:rPr>
        <w:t>3</w:t>
      </w:r>
      <w:r w:rsidRPr="00DE7F62">
        <w:rPr>
          <w:rFonts w:ascii="Arial" w:hAnsi="Arial" w:cs="Arial"/>
        </w:rPr>
        <w:t xml:space="preserve"> incluye el Reporte sobre el Cumplimiento del Código de Buen Gobierno Corporativo para las Sociedad</w:t>
      </w:r>
      <w:r w:rsidR="00DD5574">
        <w:rPr>
          <w:rFonts w:ascii="Arial" w:hAnsi="Arial" w:cs="Arial"/>
        </w:rPr>
        <w:t>es</w:t>
      </w:r>
      <w:r w:rsidRPr="00DE7F62">
        <w:rPr>
          <w:rFonts w:ascii="Arial" w:hAnsi="Arial" w:cs="Arial"/>
        </w:rPr>
        <w:t xml:space="preserve"> Peruanas, así como el Reporte de Sostenibilidad Corporativa.</w:t>
      </w:r>
    </w:p>
    <w:p w14:paraId="4CF6525A" w14:textId="77777777" w:rsidR="005D094B" w:rsidRPr="00DE7F62" w:rsidRDefault="005D094B" w:rsidP="005D094B">
      <w:pPr>
        <w:spacing w:after="0" w:line="240" w:lineRule="auto"/>
        <w:jc w:val="both"/>
        <w:rPr>
          <w:rFonts w:ascii="Arial" w:hAnsi="Arial" w:cs="Arial"/>
        </w:rPr>
      </w:pPr>
    </w:p>
    <w:p w14:paraId="20C22961" w14:textId="77777777" w:rsidR="005D094B" w:rsidRPr="00DE7F62" w:rsidRDefault="005D094B" w:rsidP="005D094B">
      <w:pPr>
        <w:spacing w:line="240" w:lineRule="auto"/>
        <w:rPr>
          <w:rFonts w:ascii="Arial" w:hAnsi="Arial" w:cs="Arial"/>
          <w:b/>
          <w:bCs/>
        </w:rPr>
      </w:pPr>
      <w:r w:rsidRPr="00DE7F62">
        <w:rPr>
          <w:rFonts w:ascii="Arial" w:hAnsi="Arial" w:cs="Arial"/>
          <w:b/>
          <w:bCs/>
        </w:rPr>
        <w:t>Moción:</w:t>
      </w:r>
    </w:p>
    <w:p w14:paraId="53BA2A2E" w14:textId="4BCA6443" w:rsidR="005D094B" w:rsidRPr="00DE7F62" w:rsidRDefault="005D094B" w:rsidP="005D094B">
      <w:pPr>
        <w:spacing w:after="0" w:line="240" w:lineRule="auto"/>
        <w:jc w:val="both"/>
        <w:rPr>
          <w:rFonts w:ascii="Arial" w:hAnsi="Arial" w:cs="Arial"/>
        </w:rPr>
      </w:pPr>
      <w:r w:rsidRPr="00DE7F62">
        <w:rPr>
          <w:rFonts w:ascii="Arial" w:hAnsi="Arial" w:cs="Arial"/>
        </w:rPr>
        <w:t>Aprobar la gestión social y los resultados económicos de la Sociedad, mediante la aprobación de la Memoria Anual y los Estados Financieros Anuales Individuales Auditados del ejercicio 202</w:t>
      </w:r>
      <w:r w:rsidR="00B73D95">
        <w:rPr>
          <w:rFonts w:ascii="Arial" w:hAnsi="Arial" w:cs="Arial"/>
        </w:rPr>
        <w:t>3</w:t>
      </w:r>
      <w:r w:rsidRPr="00DE7F62">
        <w:rPr>
          <w:rFonts w:ascii="Arial" w:hAnsi="Arial" w:cs="Arial"/>
        </w:rPr>
        <w:t>.</w:t>
      </w:r>
    </w:p>
    <w:p w14:paraId="27F10C8A" w14:textId="4AFAC7DD" w:rsidR="005D094B" w:rsidRPr="00DE7F62" w:rsidRDefault="005D094B" w:rsidP="005D094B">
      <w:pPr>
        <w:spacing w:after="0" w:line="240" w:lineRule="auto"/>
        <w:rPr>
          <w:rFonts w:ascii="Arial" w:hAnsi="Arial" w:cs="Arial"/>
        </w:rPr>
      </w:pPr>
    </w:p>
    <w:p w14:paraId="657ADE33" w14:textId="77777777" w:rsidR="005D094B" w:rsidRPr="00DE7F62" w:rsidRDefault="005D094B" w:rsidP="005D094B">
      <w:pPr>
        <w:spacing w:after="0" w:line="240" w:lineRule="auto"/>
        <w:rPr>
          <w:rFonts w:ascii="Arial" w:hAnsi="Arial" w:cs="Arial"/>
          <w:b/>
          <w:bCs/>
        </w:rPr>
      </w:pPr>
      <w:r w:rsidRPr="00DE7F62">
        <w:rPr>
          <w:rFonts w:ascii="Arial" w:hAnsi="Arial" w:cs="Arial"/>
          <w:b/>
          <w:bCs/>
        </w:rPr>
        <w:t>MOCIÓN N° 02</w:t>
      </w:r>
    </w:p>
    <w:p w14:paraId="35AB4317" w14:textId="77777777" w:rsidR="005D094B" w:rsidRPr="00DE7F62" w:rsidRDefault="005D094B" w:rsidP="005D094B">
      <w:pPr>
        <w:spacing w:after="0" w:line="240" w:lineRule="auto"/>
        <w:rPr>
          <w:rFonts w:ascii="Arial" w:hAnsi="Arial" w:cs="Arial"/>
          <w:b/>
          <w:bCs/>
        </w:rPr>
      </w:pPr>
    </w:p>
    <w:p w14:paraId="063986CD" w14:textId="6010645E" w:rsidR="005D094B" w:rsidRPr="00DE7F62" w:rsidRDefault="005D094B" w:rsidP="005D094B">
      <w:pPr>
        <w:spacing w:after="0" w:line="240" w:lineRule="auto"/>
        <w:rPr>
          <w:rFonts w:ascii="Arial" w:hAnsi="Arial" w:cs="Arial"/>
          <w:b/>
          <w:bCs/>
        </w:rPr>
      </w:pPr>
      <w:bookmarkStart w:id="0" w:name="_Hlk131158938"/>
      <w:r w:rsidRPr="00DE7F62">
        <w:rPr>
          <w:rFonts w:ascii="Arial" w:hAnsi="Arial" w:cs="Arial"/>
          <w:b/>
          <w:bCs/>
        </w:rPr>
        <w:t>Aplicación de resultados económicos del ejercicio 202</w:t>
      </w:r>
      <w:r w:rsidR="00B73D95">
        <w:rPr>
          <w:rFonts w:ascii="Arial" w:hAnsi="Arial" w:cs="Arial"/>
          <w:b/>
          <w:bCs/>
        </w:rPr>
        <w:t>3</w:t>
      </w:r>
      <w:r w:rsidRPr="00DE7F62">
        <w:rPr>
          <w:rFonts w:ascii="Arial" w:hAnsi="Arial" w:cs="Arial"/>
          <w:b/>
          <w:bCs/>
        </w:rPr>
        <w:t>.</w:t>
      </w:r>
    </w:p>
    <w:p w14:paraId="67F517D9" w14:textId="77777777" w:rsidR="005D094B" w:rsidRPr="00DE7F62" w:rsidRDefault="005D094B" w:rsidP="005D094B">
      <w:pPr>
        <w:spacing w:after="0" w:line="240" w:lineRule="auto"/>
        <w:rPr>
          <w:rFonts w:ascii="Arial" w:hAnsi="Arial" w:cs="Arial"/>
          <w:b/>
          <w:bCs/>
        </w:rPr>
      </w:pPr>
    </w:p>
    <w:p w14:paraId="40A0D492" w14:textId="77777777" w:rsidR="005D094B" w:rsidRPr="00DE7F62" w:rsidRDefault="005D094B" w:rsidP="005D094B">
      <w:pPr>
        <w:spacing w:after="0" w:line="240" w:lineRule="auto"/>
        <w:jc w:val="both"/>
        <w:rPr>
          <w:rFonts w:ascii="Arial" w:hAnsi="Arial" w:cs="Arial"/>
          <w:b/>
          <w:bCs/>
        </w:rPr>
      </w:pPr>
      <w:r w:rsidRPr="00DE7F62">
        <w:rPr>
          <w:rFonts w:ascii="Arial" w:hAnsi="Arial" w:cs="Arial"/>
          <w:b/>
          <w:bCs/>
        </w:rPr>
        <w:t>Considerando:</w:t>
      </w:r>
    </w:p>
    <w:p w14:paraId="7507BEBA" w14:textId="77777777" w:rsidR="005D094B" w:rsidRPr="00DE7F62" w:rsidRDefault="005D094B" w:rsidP="005D094B">
      <w:pPr>
        <w:spacing w:after="0" w:line="240" w:lineRule="auto"/>
        <w:jc w:val="both"/>
        <w:rPr>
          <w:rFonts w:ascii="Arial" w:hAnsi="Arial" w:cs="Arial"/>
          <w:b/>
          <w:bCs/>
        </w:rPr>
      </w:pPr>
    </w:p>
    <w:p w14:paraId="20D1FCA7" w14:textId="33D6F7B4" w:rsidR="005D094B" w:rsidRDefault="00366835" w:rsidP="00366835">
      <w:pPr>
        <w:spacing w:after="0" w:line="240" w:lineRule="auto"/>
        <w:jc w:val="both"/>
        <w:rPr>
          <w:rFonts w:ascii="Arial" w:hAnsi="Arial" w:cs="Arial"/>
        </w:rPr>
      </w:pPr>
      <w:r w:rsidRPr="00366835">
        <w:rPr>
          <w:rFonts w:ascii="Arial" w:hAnsi="Arial" w:cs="Arial"/>
        </w:rPr>
        <w:t>Que, de acuerdo con los Estados Financieros anuales individuales auditados correspondientes al ejercicio 202</w:t>
      </w:r>
      <w:r w:rsidR="004A570F">
        <w:rPr>
          <w:rFonts w:ascii="Arial" w:hAnsi="Arial" w:cs="Arial"/>
        </w:rPr>
        <w:t>3</w:t>
      </w:r>
      <w:r w:rsidRPr="00366835">
        <w:rPr>
          <w:rFonts w:ascii="Arial" w:hAnsi="Arial" w:cs="Arial"/>
        </w:rPr>
        <w:t xml:space="preserve">, la Sociedad ha obtenido la suma de S/ </w:t>
      </w:r>
      <w:r w:rsidR="00231CE4" w:rsidRPr="00231CE4">
        <w:rPr>
          <w:rFonts w:ascii="Arial" w:hAnsi="Arial" w:cs="Arial"/>
        </w:rPr>
        <w:t xml:space="preserve"> 2</w:t>
      </w:r>
      <w:r w:rsidR="00C52F4E">
        <w:rPr>
          <w:rFonts w:ascii="Arial" w:hAnsi="Arial" w:cs="Arial"/>
        </w:rPr>
        <w:t>’</w:t>
      </w:r>
      <w:r w:rsidR="00231CE4" w:rsidRPr="00231CE4">
        <w:rPr>
          <w:rFonts w:ascii="Arial" w:hAnsi="Arial" w:cs="Arial"/>
        </w:rPr>
        <w:t>040,000</w:t>
      </w:r>
      <w:r w:rsidRPr="00366835">
        <w:rPr>
          <w:rFonts w:ascii="Arial" w:hAnsi="Arial" w:cs="Arial"/>
        </w:rPr>
        <w:t>.00 (</w:t>
      </w:r>
      <w:r w:rsidR="00231CE4">
        <w:rPr>
          <w:rFonts w:ascii="Arial" w:hAnsi="Arial" w:cs="Arial"/>
        </w:rPr>
        <w:t>Dos Millones Cuarenta Mil</w:t>
      </w:r>
      <w:r w:rsidRPr="00366835">
        <w:rPr>
          <w:rFonts w:ascii="Arial" w:hAnsi="Arial" w:cs="Arial"/>
        </w:rPr>
        <w:t xml:space="preserve"> y 00/100 Soles) como utilidad neta -luego de las deducciones de ley- correspondiente a dicho ejercicio. Sin embargo, teniendo en consideración que la Sociedad es una holding y los estados financieros anuales consolidados auditados de ésta correspondientes al ejercicio 202</w:t>
      </w:r>
      <w:r w:rsidR="00231CE4">
        <w:rPr>
          <w:rFonts w:ascii="Arial" w:hAnsi="Arial" w:cs="Arial"/>
        </w:rPr>
        <w:t>3</w:t>
      </w:r>
      <w:r w:rsidRPr="00366835">
        <w:rPr>
          <w:rFonts w:ascii="Arial" w:hAnsi="Arial" w:cs="Arial"/>
        </w:rPr>
        <w:t xml:space="preserve"> se encuentran en proceso de elaboración y aún no cuentan con el dictamen de los auditores externos, </w:t>
      </w:r>
      <w:r w:rsidR="00231CE4">
        <w:rPr>
          <w:rFonts w:ascii="Arial" w:hAnsi="Arial" w:cs="Arial"/>
        </w:rPr>
        <w:t xml:space="preserve">Gaveglio Aparicio y Asociados Sociedad Civil de Responsabilidad Limitada, firma miembro de </w:t>
      </w:r>
      <w:r w:rsidR="00231CE4" w:rsidRPr="00325AA4">
        <w:rPr>
          <w:rFonts w:ascii="Arial" w:hAnsi="Arial" w:cs="Arial"/>
        </w:rPr>
        <w:t xml:space="preserve"> PriceWaterhouseCoopers</w:t>
      </w:r>
      <w:r w:rsidR="00231CE4">
        <w:rPr>
          <w:rFonts w:ascii="Arial" w:hAnsi="Arial" w:cs="Arial"/>
        </w:rPr>
        <w:t xml:space="preserve"> (PwC)</w:t>
      </w:r>
      <w:r w:rsidRPr="00366835">
        <w:rPr>
          <w:rFonts w:ascii="Arial" w:hAnsi="Arial" w:cs="Arial"/>
        </w:rPr>
        <w:t>, no se conocen aún los resultados económicos correspondientes al ejercicio 202</w:t>
      </w:r>
      <w:r w:rsidR="00231CE4">
        <w:rPr>
          <w:rFonts w:ascii="Arial" w:hAnsi="Arial" w:cs="Arial"/>
        </w:rPr>
        <w:t>3</w:t>
      </w:r>
      <w:r w:rsidRPr="00366835">
        <w:rPr>
          <w:rFonts w:ascii="Arial" w:hAnsi="Arial" w:cs="Arial"/>
        </w:rPr>
        <w:t xml:space="preserve"> a nivel consolidado, razón por la cual, el directorio de la Sociedad, mediante Sesión de Directorio de fecha </w:t>
      </w:r>
      <w:r w:rsidR="0012381A">
        <w:rPr>
          <w:rFonts w:ascii="Arial" w:hAnsi="Arial" w:cs="Arial"/>
        </w:rPr>
        <w:t>14 de marzo de 2024</w:t>
      </w:r>
      <w:r w:rsidRPr="00366835">
        <w:rPr>
          <w:rFonts w:ascii="Arial" w:hAnsi="Arial" w:cs="Arial"/>
        </w:rPr>
        <w:t>, recomendó a la Junta Obligatoria Anual de Accionistas aprobar el reparto de dividendos, sujetando la eficacia de esta aprobación a que los estados financieros consolidados anuales</w:t>
      </w:r>
      <w:r w:rsidR="00AB1607">
        <w:rPr>
          <w:rFonts w:ascii="Arial" w:hAnsi="Arial" w:cs="Arial"/>
        </w:rPr>
        <w:t xml:space="preserve"> </w:t>
      </w:r>
      <w:r w:rsidR="00AB1607" w:rsidRPr="00AB1607">
        <w:rPr>
          <w:rFonts w:ascii="Arial" w:hAnsi="Arial" w:cs="Arial"/>
        </w:rPr>
        <w:t>auditados del ejercicio 202</w:t>
      </w:r>
      <w:r w:rsidR="0012381A">
        <w:rPr>
          <w:rFonts w:ascii="Arial" w:hAnsi="Arial" w:cs="Arial"/>
        </w:rPr>
        <w:t>3</w:t>
      </w:r>
      <w:r w:rsidR="00AB1607" w:rsidRPr="00AB1607">
        <w:rPr>
          <w:rFonts w:ascii="Arial" w:hAnsi="Arial" w:cs="Arial"/>
        </w:rPr>
        <w:t xml:space="preserve"> arrojen efectivamente utilidades, así como delegar en el </w:t>
      </w:r>
      <w:r w:rsidR="00AB1607" w:rsidRPr="00AB1607">
        <w:rPr>
          <w:rFonts w:ascii="Arial" w:hAnsi="Arial" w:cs="Arial"/>
        </w:rPr>
        <w:lastRenderedPageBreak/>
        <w:t>directorio, en caso existan utilidades de acuerdo a los resultados consolidados, la facultad de determinar los criterios y oportunidades para la repartición de dichos dividendos entre los accionistas de la Sociedad, en función a la utilidad obtenida a nivel consolidado en el ejercicio 202</w:t>
      </w:r>
      <w:r w:rsidR="0012381A">
        <w:rPr>
          <w:rFonts w:ascii="Arial" w:hAnsi="Arial" w:cs="Arial"/>
        </w:rPr>
        <w:t>3</w:t>
      </w:r>
      <w:r w:rsidR="00AB1607" w:rsidRPr="00AB1607">
        <w:rPr>
          <w:rFonts w:ascii="Arial" w:hAnsi="Arial" w:cs="Arial"/>
        </w:rPr>
        <w:t xml:space="preserve">, conforme a la información contenida en el informe de auditores externos, así como en observancia de los términos de la Política de Dividendos de la Sociedad. Según la Política de Dividendos vigente de la Sociedad, correspondería distribuir entre los accionistas, por lo menos el equivalente al 50% (cincuenta por ciento) de la utilidad neta obtenida en el ejercicio.  </w:t>
      </w:r>
    </w:p>
    <w:p w14:paraId="1E48349B" w14:textId="77777777" w:rsidR="00366835" w:rsidRPr="00DE7F62" w:rsidRDefault="00366835" w:rsidP="00366835">
      <w:pPr>
        <w:spacing w:after="0" w:line="240" w:lineRule="auto"/>
        <w:jc w:val="both"/>
        <w:rPr>
          <w:rFonts w:ascii="Arial" w:hAnsi="Arial" w:cs="Arial"/>
          <w:b/>
          <w:bCs/>
        </w:rPr>
      </w:pPr>
    </w:p>
    <w:p w14:paraId="32D6617E" w14:textId="77777777" w:rsidR="005D094B" w:rsidRPr="00DE7F62" w:rsidRDefault="005D094B" w:rsidP="005D094B">
      <w:pPr>
        <w:spacing w:after="0" w:line="240" w:lineRule="auto"/>
        <w:rPr>
          <w:rFonts w:ascii="Arial" w:hAnsi="Arial" w:cs="Arial"/>
          <w:b/>
          <w:bCs/>
        </w:rPr>
      </w:pPr>
      <w:r w:rsidRPr="00DE7F62">
        <w:rPr>
          <w:rFonts w:ascii="Arial" w:hAnsi="Arial" w:cs="Arial"/>
          <w:b/>
          <w:bCs/>
        </w:rPr>
        <w:t>Moción:</w:t>
      </w:r>
    </w:p>
    <w:p w14:paraId="6566FBE8" w14:textId="77777777" w:rsidR="005D094B" w:rsidRPr="00DE7F62" w:rsidRDefault="005D094B" w:rsidP="005D094B">
      <w:pPr>
        <w:spacing w:after="0" w:line="240" w:lineRule="auto"/>
        <w:jc w:val="both"/>
        <w:rPr>
          <w:rFonts w:ascii="Arial" w:hAnsi="Arial" w:cs="Arial"/>
        </w:rPr>
      </w:pPr>
    </w:p>
    <w:p w14:paraId="3ADAEB04" w14:textId="77777777" w:rsidR="005D094B" w:rsidRPr="00DE7F62" w:rsidRDefault="005D094B" w:rsidP="005D094B">
      <w:pPr>
        <w:spacing w:after="0" w:line="240" w:lineRule="auto"/>
        <w:jc w:val="both"/>
        <w:rPr>
          <w:rFonts w:ascii="Arial" w:hAnsi="Arial" w:cs="Arial"/>
        </w:rPr>
      </w:pPr>
      <w:r w:rsidRPr="00DE7F62">
        <w:rPr>
          <w:rFonts w:ascii="Arial" w:hAnsi="Arial" w:cs="Arial"/>
        </w:rPr>
        <w:t>Que, la Junta Obligatoria Anual de Accionistas de la Sociedad apruebe:</w:t>
      </w:r>
    </w:p>
    <w:p w14:paraId="7B76DC54" w14:textId="77777777" w:rsidR="005D094B" w:rsidRPr="00DE7F62" w:rsidRDefault="005D094B" w:rsidP="005D094B">
      <w:pPr>
        <w:spacing w:after="0" w:line="240" w:lineRule="auto"/>
        <w:jc w:val="both"/>
        <w:rPr>
          <w:rFonts w:ascii="Arial" w:hAnsi="Arial" w:cs="Arial"/>
        </w:rPr>
      </w:pPr>
    </w:p>
    <w:p w14:paraId="641BBC31" w14:textId="1442FEE7" w:rsidR="00B03CB7" w:rsidRPr="004A570F" w:rsidRDefault="00B03CB7" w:rsidP="004A570F">
      <w:pPr>
        <w:pStyle w:val="Prrafodelista"/>
        <w:numPr>
          <w:ilvl w:val="0"/>
          <w:numId w:val="8"/>
        </w:numPr>
        <w:spacing w:after="0" w:line="240" w:lineRule="auto"/>
        <w:ind w:left="567" w:hanging="567"/>
        <w:jc w:val="both"/>
        <w:rPr>
          <w:rFonts w:ascii="Arial" w:hAnsi="Arial" w:cs="Arial"/>
        </w:rPr>
      </w:pPr>
      <w:r w:rsidRPr="004A570F">
        <w:rPr>
          <w:rFonts w:ascii="Arial" w:hAnsi="Arial" w:cs="Arial"/>
        </w:rPr>
        <w:t>El reparto de dividendos a favor de los accionistas de la Sociedad, sujetando la eficacia de esta aprobación a que los estados financieros consolidados anuales auditados del ejercicio 202</w:t>
      </w:r>
      <w:r w:rsidR="0012381A">
        <w:rPr>
          <w:rFonts w:ascii="Arial" w:hAnsi="Arial" w:cs="Arial"/>
        </w:rPr>
        <w:t>3</w:t>
      </w:r>
      <w:r w:rsidRPr="004A570F">
        <w:rPr>
          <w:rFonts w:ascii="Arial" w:hAnsi="Arial" w:cs="Arial"/>
        </w:rPr>
        <w:t xml:space="preserve"> arrojen efectivamente utilidades. </w:t>
      </w:r>
    </w:p>
    <w:p w14:paraId="49876069" w14:textId="30CDA584" w:rsidR="00B03CB7" w:rsidRPr="004A570F" w:rsidRDefault="00B03CB7" w:rsidP="004A570F">
      <w:pPr>
        <w:pStyle w:val="Prrafodelista"/>
        <w:numPr>
          <w:ilvl w:val="0"/>
          <w:numId w:val="8"/>
        </w:numPr>
        <w:spacing w:after="0" w:line="240" w:lineRule="auto"/>
        <w:ind w:left="567" w:hanging="567"/>
        <w:jc w:val="both"/>
        <w:rPr>
          <w:rFonts w:ascii="Arial" w:hAnsi="Arial" w:cs="Arial"/>
        </w:rPr>
      </w:pPr>
      <w:r w:rsidRPr="004A570F">
        <w:rPr>
          <w:rFonts w:ascii="Arial" w:hAnsi="Arial" w:cs="Arial"/>
        </w:rPr>
        <w:t>Delegar en el directorio, en caso existan utilidades de acuerdo con los resultados consolidados anuales auditados del ejercicio 202</w:t>
      </w:r>
      <w:r w:rsidR="0012381A">
        <w:rPr>
          <w:rFonts w:ascii="Arial" w:hAnsi="Arial" w:cs="Arial"/>
        </w:rPr>
        <w:t>3</w:t>
      </w:r>
      <w:r w:rsidRPr="004A570F">
        <w:rPr>
          <w:rFonts w:ascii="Arial" w:hAnsi="Arial" w:cs="Arial"/>
        </w:rPr>
        <w:t>, la determinación de los criterios y oportunidades para la repartición de dividendos entre los accionistas de la Sociedad, conforme a los resultados obtenidos por la Sociedad en el ejercicio 202</w:t>
      </w:r>
      <w:r w:rsidR="0012381A">
        <w:rPr>
          <w:rFonts w:ascii="Arial" w:hAnsi="Arial" w:cs="Arial"/>
        </w:rPr>
        <w:t>3</w:t>
      </w:r>
      <w:r w:rsidRPr="004A570F">
        <w:rPr>
          <w:rFonts w:ascii="Arial" w:hAnsi="Arial" w:cs="Arial"/>
        </w:rPr>
        <w:t xml:space="preserve"> a nivel consolidado -según el informe preparado por los auditores externos- y en observancia de la Política de Dividendos de la Sociedad.  </w:t>
      </w:r>
    </w:p>
    <w:p w14:paraId="2A02E660" w14:textId="08F4B84F" w:rsidR="005D094B" w:rsidRPr="004A570F" w:rsidRDefault="00B03CB7" w:rsidP="004A570F">
      <w:pPr>
        <w:pStyle w:val="Prrafodelista"/>
        <w:numPr>
          <w:ilvl w:val="0"/>
          <w:numId w:val="8"/>
        </w:numPr>
        <w:spacing w:after="0" w:line="240" w:lineRule="auto"/>
        <w:ind w:left="567" w:hanging="567"/>
        <w:jc w:val="both"/>
        <w:rPr>
          <w:rFonts w:ascii="Arial" w:hAnsi="Arial" w:cs="Arial"/>
        </w:rPr>
      </w:pPr>
      <w:r w:rsidRPr="004A570F">
        <w:rPr>
          <w:rFonts w:ascii="Arial" w:hAnsi="Arial" w:cs="Arial"/>
        </w:rPr>
        <w:t>Delegar en el directorio, en caso existan utilidades de acuerdo con los resultados consolidados anuales auditados del ejercicio 202</w:t>
      </w:r>
      <w:r w:rsidR="0012381A">
        <w:rPr>
          <w:rFonts w:ascii="Arial" w:hAnsi="Arial" w:cs="Arial"/>
        </w:rPr>
        <w:t>3</w:t>
      </w:r>
      <w:r w:rsidRPr="004A570F">
        <w:rPr>
          <w:rFonts w:ascii="Arial" w:hAnsi="Arial" w:cs="Arial"/>
        </w:rPr>
        <w:t>, la facultad de determinar la fecha de registro y entrega correspondientes al pago de estos dividendos.</w:t>
      </w:r>
    </w:p>
    <w:p w14:paraId="1A60D04B" w14:textId="77777777" w:rsidR="00B03CB7" w:rsidRPr="00DE7F62" w:rsidRDefault="00B03CB7" w:rsidP="005D094B">
      <w:pPr>
        <w:spacing w:after="0" w:line="240" w:lineRule="auto"/>
        <w:jc w:val="both"/>
        <w:rPr>
          <w:rFonts w:ascii="Arial" w:hAnsi="Arial" w:cs="Arial"/>
        </w:rPr>
      </w:pPr>
    </w:p>
    <w:p w14:paraId="4C4CBDE7" w14:textId="77777777" w:rsidR="005D094B" w:rsidRPr="00DE7F62" w:rsidRDefault="005D094B" w:rsidP="005D094B">
      <w:pPr>
        <w:spacing w:after="0" w:line="240" w:lineRule="auto"/>
        <w:contextualSpacing/>
        <w:rPr>
          <w:rFonts w:ascii="Arial" w:hAnsi="Arial" w:cs="Arial"/>
          <w:b/>
          <w:bCs/>
        </w:rPr>
      </w:pPr>
      <w:r w:rsidRPr="00DE7F62">
        <w:rPr>
          <w:rFonts w:ascii="Arial" w:hAnsi="Arial" w:cs="Arial"/>
          <w:b/>
          <w:bCs/>
        </w:rPr>
        <w:t>MOCIÓN N° 03</w:t>
      </w:r>
    </w:p>
    <w:p w14:paraId="371E1645" w14:textId="77777777" w:rsidR="005D094B" w:rsidRPr="00DE7F62" w:rsidRDefault="005D094B" w:rsidP="005D094B">
      <w:pPr>
        <w:spacing w:after="0" w:line="240" w:lineRule="auto"/>
        <w:contextualSpacing/>
        <w:jc w:val="both"/>
        <w:rPr>
          <w:rFonts w:ascii="Arial" w:hAnsi="Arial" w:cs="Arial"/>
          <w:b/>
          <w:bCs/>
        </w:rPr>
      </w:pPr>
    </w:p>
    <w:p w14:paraId="18491642" w14:textId="3EE6060B" w:rsidR="005D094B" w:rsidRPr="00DE7F62" w:rsidRDefault="005D094B" w:rsidP="005D094B">
      <w:pPr>
        <w:spacing w:after="0" w:line="240" w:lineRule="auto"/>
        <w:contextualSpacing/>
        <w:jc w:val="both"/>
        <w:rPr>
          <w:rFonts w:ascii="Arial" w:hAnsi="Arial" w:cs="Arial"/>
          <w:b/>
          <w:bCs/>
        </w:rPr>
      </w:pPr>
      <w:r w:rsidRPr="00DE7F62">
        <w:rPr>
          <w:rFonts w:ascii="Arial" w:hAnsi="Arial" w:cs="Arial"/>
          <w:b/>
          <w:bCs/>
        </w:rPr>
        <w:t>De</w:t>
      </w:r>
      <w:r w:rsidR="00D02FEE">
        <w:rPr>
          <w:rFonts w:ascii="Arial" w:hAnsi="Arial" w:cs="Arial"/>
          <w:b/>
          <w:bCs/>
        </w:rPr>
        <w:t>legación en el Directorio de la de</w:t>
      </w:r>
      <w:r w:rsidRPr="00DE7F62">
        <w:rPr>
          <w:rFonts w:ascii="Arial" w:hAnsi="Arial" w:cs="Arial"/>
          <w:b/>
          <w:bCs/>
        </w:rPr>
        <w:t>signación de auditores externos para el ejercicio en curso.</w:t>
      </w:r>
    </w:p>
    <w:p w14:paraId="46E79680" w14:textId="77777777" w:rsidR="005D094B" w:rsidRPr="00DE7F62" w:rsidRDefault="005D094B" w:rsidP="005D094B">
      <w:pPr>
        <w:spacing w:after="0" w:line="240" w:lineRule="auto"/>
        <w:contextualSpacing/>
        <w:jc w:val="both"/>
        <w:rPr>
          <w:rFonts w:ascii="Arial" w:hAnsi="Arial" w:cs="Arial"/>
        </w:rPr>
      </w:pPr>
    </w:p>
    <w:p w14:paraId="3D859301" w14:textId="77777777" w:rsidR="005D094B" w:rsidRPr="00DE7F62" w:rsidRDefault="005D094B" w:rsidP="005D094B">
      <w:pPr>
        <w:spacing w:after="0" w:line="240" w:lineRule="auto"/>
        <w:contextualSpacing/>
        <w:jc w:val="both"/>
        <w:rPr>
          <w:rFonts w:ascii="Arial" w:hAnsi="Arial" w:cs="Arial"/>
          <w:b/>
          <w:bCs/>
        </w:rPr>
      </w:pPr>
      <w:r w:rsidRPr="00DE7F62">
        <w:rPr>
          <w:rFonts w:ascii="Arial" w:hAnsi="Arial" w:cs="Arial"/>
          <w:b/>
          <w:bCs/>
        </w:rPr>
        <w:t>Considerando:</w:t>
      </w:r>
    </w:p>
    <w:p w14:paraId="4865536C" w14:textId="77777777" w:rsidR="005D094B" w:rsidRPr="00DE7F62" w:rsidRDefault="005D094B" w:rsidP="005D094B">
      <w:pPr>
        <w:spacing w:after="0" w:line="240" w:lineRule="auto"/>
        <w:contextualSpacing/>
        <w:jc w:val="both"/>
        <w:rPr>
          <w:rFonts w:ascii="Arial" w:hAnsi="Arial" w:cs="Arial"/>
          <w:b/>
          <w:bCs/>
        </w:rPr>
      </w:pPr>
    </w:p>
    <w:p w14:paraId="723E29B4" w14:textId="02879B8F" w:rsidR="005D094B" w:rsidRPr="00DE7F62" w:rsidRDefault="00325AA4" w:rsidP="005D094B">
      <w:pPr>
        <w:spacing w:after="0" w:line="240" w:lineRule="auto"/>
        <w:contextualSpacing/>
        <w:jc w:val="both"/>
        <w:rPr>
          <w:rFonts w:ascii="Arial" w:hAnsi="Arial" w:cs="Arial"/>
        </w:rPr>
      </w:pPr>
      <w:r w:rsidRPr="00325AA4">
        <w:rPr>
          <w:rFonts w:ascii="Arial" w:hAnsi="Arial" w:cs="Arial"/>
        </w:rPr>
        <w:t>Que, corresponde a la Junta Obligatoria Anual de Accionistas pronunciarse sobre la designación de los auditores externos de la Sociedad para el ejercicio 202</w:t>
      </w:r>
      <w:r w:rsidR="0012381A">
        <w:rPr>
          <w:rFonts w:ascii="Arial" w:hAnsi="Arial" w:cs="Arial"/>
        </w:rPr>
        <w:t>4</w:t>
      </w:r>
      <w:r w:rsidRPr="00325AA4">
        <w:rPr>
          <w:rFonts w:ascii="Arial" w:hAnsi="Arial" w:cs="Arial"/>
        </w:rPr>
        <w:t xml:space="preserve"> en curso; sin embargo, la Sociedad se encuentra actualmente analizando si volverá a contratar los servicios de la firma auditora Gaveglio Aparicio y Asociados Sociedad Civil de Responsabilidad Limitada</w:t>
      </w:r>
      <w:r>
        <w:rPr>
          <w:rFonts w:ascii="Arial" w:hAnsi="Arial" w:cs="Arial"/>
        </w:rPr>
        <w:t>,</w:t>
      </w:r>
      <w:r w:rsidRPr="00325AA4">
        <w:rPr>
          <w:rFonts w:ascii="Arial" w:hAnsi="Arial" w:cs="Arial"/>
        </w:rPr>
        <w:t xml:space="preserve"> firma miembro de PricewaterhouseCoopers (PwC) que fue recientemente contratada para la auditoria de estados financieros correspondiente al ejercicio 20</w:t>
      </w:r>
      <w:r w:rsidR="00E40B4B">
        <w:rPr>
          <w:rFonts w:ascii="Arial" w:hAnsi="Arial" w:cs="Arial"/>
        </w:rPr>
        <w:t>23</w:t>
      </w:r>
      <w:r w:rsidRPr="00325AA4">
        <w:rPr>
          <w:rFonts w:ascii="Arial" w:hAnsi="Arial" w:cs="Arial"/>
        </w:rPr>
        <w:t>. En tal sentido, conforme a lo dispuesto por el artículo 114° inciso 4 de la Ley General de Sociedades, se propone delegar en el Directorio de la Sociedad, el nombramiento de los auditores externos para el ejercicio económico 202</w:t>
      </w:r>
      <w:r w:rsidR="00E40B4B">
        <w:rPr>
          <w:rFonts w:ascii="Arial" w:hAnsi="Arial" w:cs="Arial"/>
        </w:rPr>
        <w:t>4</w:t>
      </w:r>
      <w:r w:rsidRPr="00325AA4">
        <w:rPr>
          <w:rFonts w:ascii="Arial" w:hAnsi="Arial" w:cs="Arial"/>
        </w:rPr>
        <w:t>.</w:t>
      </w:r>
    </w:p>
    <w:p w14:paraId="55D2C591" w14:textId="77777777" w:rsidR="005D094B" w:rsidRPr="00DE7F62" w:rsidRDefault="005D094B" w:rsidP="005D094B">
      <w:pPr>
        <w:spacing w:after="0" w:line="240" w:lineRule="auto"/>
        <w:contextualSpacing/>
        <w:jc w:val="both"/>
        <w:rPr>
          <w:rFonts w:ascii="Arial" w:hAnsi="Arial" w:cs="Arial"/>
          <w:b/>
          <w:bCs/>
        </w:rPr>
      </w:pPr>
    </w:p>
    <w:p w14:paraId="11F22A2A" w14:textId="77777777" w:rsidR="005D094B" w:rsidRPr="00DE7F62" w:rsidRDefault="005D094B" w:rsidP="005D094B">
      <w:pPr>
        <w:spacing w:after="0" w:line="240" w:lineRule="auto"/>
        <w:contextualSpacing/>
        <w:jc w:val="both"/>
        <w:rPr>
          <w:rFonts w:ascii="Arial" w:hAnsi="Arial" w:cs="Arial"/>
          <w:b/>
          <w:bCs/>
        </w:rPr>
      </w:pPr>
      <w:r w:rsidRPr="00DE7F62">
        <w:rPr>
          <w:rFonts w:ascii="Arial" w:hAnsi="Arial" w:cs="Arial"/>
          <w:b/>
          <w:bCs/>
        </w:rPr>
        <w:t>Moción:</w:t>
      </w:r>
    </w:p>
    <w:p w14:paraId="1248429C" w14:textId="77777777" w:rsidR="005D094B" w:rsidRPr="00DE7F62" w:rsidRDefault="005D094B" w:rsidP="005D094B">
      <w:pPr>
        <w:spacing w:after="0" w:line="240" w:lineRule="auto"/>
        <w:contextualSpacing/>
        <w:jc w:val="both"/>
        <w:rPr>
          <w:rFonts w:ascii="Arial" w:hAnsi="Arial" w:cs="Arial"/>
        </w:rPr>
      </w:pPr>
    </w:p>
    <w:p w14:paraId="79301ABB" w14:textId="4A728820" w:rsidR="005D094B" w:rsidRPr="00DE7F62" w:rsidRDefault="005D094B" w:rsidP="005D094B">
      <w:pPr>
        <w:spacing w:after="0" w:line="240" w:lineRule="auto"/>
        <w:contextualSpacing/>
        <w:jc w:val="both"/>
        <w:rPr>
          <w:rFonts w:ascii="Arial" w:hAnsi="Arial" w:cs="Arial"/>
        </w:rPr>
      </w:pPr>
      <w:r w:rsidRPr="00DE7F62">
        <w:rPr>
          <w:rFonts w:ascii="Arial" w:hAnsi="Arial" w:cs="Arial"/>
        </w:rPr>
        <w:t>De</w:t>
      </w:r>
      <w:r w:rsidR="00D02FEE">
        <w:rPr>
          <w:rFonts w:ascii="Arial" w:hAnsi="Arial" w:cs="Arial"/>
        </w:rPr>
        <w:t>legar en el Directorio de la Sociedad el nombramiento de auditores externos para el</w:t>
      </w:r>
      <w:r w:rsidRPr="00DE7F62">
        <w:rPr>
          <w:rFonts w:ascii="Arial" w:hAnsi="Arial" w:cs="Arial"/>
        </w:rPr>
        <w:t xml:space="preserve"> ejercicio económico 202</w:t>
      </w:r>
      <w:r w:rsidR="0012381A">
        <w:rPr>
          <w:rFonts w:ascii="Arial" w:hAnsi="Arial" w:cs="Arial"/>
        </w:rPr>
        <w:t>4</w:t>
      </w:r>
      <w:r w:rsidRPr="00DE7F62">
        <w:rPr>
          <w:rFonts w:ascii="Arial" w:hAnsi="Arial" w:cs="Arial"/>
        </w:rPr>
        <w:t>.</w:t>
      </w:r>
    </w:p>
    <w:bookmarkEnd w:id="0"/>
    <w:p w14:paraId="457E83C0" w14:textId="77777777" w:rsidR="005D094B" w:rsidRPr="00DE7F62" w:rsidRDefault="005D094B" w:rsidP="005D094B">
      <w:pPr>
        <w:spacing w:after="0" w:line="240" w:lineRule="auto"/>
        <w:contextualSpacing/>
        <w:jc w:val="both"/>
        <w:rPr>
          <w:rFonts w:ascii="Arial" w:hAnsi="Arial" w:cs="Arial"/>
          <w:b/>
          <w:bCs/>
        </w:rPr>
      </w:pPr>
    </w:p>
    <w:p w14:paraId="41F20D42" w14:textId="5F0AAEC2" w:rsidR="00EC38BF" w:rsidRPr="00DE7F62" w:rsidRDefault="00EC38BF" w:rsidP="00666D9D">
      <w:pPr>
        <w:spacing w:line="240" w:lineRule="auto"/>
        <w:contextualSpacing/>
        <w:jc w:val="both"/>
        <w:rPr>
          <w:rFonts w:ascii="Arial" w:hAnsi="Arial" w:cs="Arial"/>
        </w:rPr>
      </w:pPr>
    </w:p>
    <w:sectPr w:rsidR="00EC38BF" w:rsidRPr="00DE7F62" w:rsidSect="00015B6E">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5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47D09A" w14:textId="77777777" w:rsidR="00886F62" w:rsidRDefault="00886F62" w:rsidP="00015B6E">
      <w:pPr>
        <w:spacing w:after="0" w:line="240" w:lineRule="auto"/>
      </w:pPr>
      <w:r>
        <w:separator/>
      </w:r>
    </w:p>
  </w:endnote>
  <w:endnote w:type="continuationSeparator" w:id="0">
    <w:p w14:paraId="0CF1355F" w14:textId="77777777" w:rsidR="00886F62" w:rsidRDefault="00886F62" w:rsidP="00015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BD8613" w14:textId="77777777" w:rsidR="001245F3" w:rsidRDefault="001245F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51A97D" w14:textId="67DD24AD" w:rsidR="0012381A" w:rsidRDefault="002B0476" w:rsidP="001873E4">
    <w:pPr>
      <w:pStyle w:val="Piedepgina"/>
      <w:spacing w:line="180" w:lineRule="exact"/>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DD5574">
      <w:rPr>
        <w:rFonts w:ascii="Arial" w:hAnsi="Arial" w:cs="Arial"/>
        <w:sz w:val="16"/>
      </w:rPr>
      <w:t>4886-2065-1693, v. 1</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12A45D" w14:textId="77777777" w:rsidR="001245F3" w:rsidRDefault="001245F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DC441D" w14:textId="77777777" w:rsidR="00886F62" w:rsidRDefault="00886F62" w:rsidP="00015B6E">
      <w:pPr>
        <w:spacing w:after="0" w:line="240" w:lineRule="auto"/>
      </w:pPr>
      <w:r>
        <w:separator/>
      </w:r>
    </w:p>
  </w:footnote>
  <w:footnote w:type="continuationSeparator" w:id="0">
    <w:p w14:paraId="20DCE0AA" w14:textId="77777777" w:rsidR="00886F62" w:rsidRDefault="00886F62" w:rsidP="00015B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242B9D" w14:textId="77777777" w:rsidR="001245F3" w:rsidRDefault="001245F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6AFECE" w14:textId="77777777" w:rsidR="001245F3" w:rsidRDefault="001245F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DD9A8B" w14:textId="77777777" w:rsidR="001245F3" w:rsidRDefault="001245F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B35773"/>
    <w:multiLevelType w:val="hybridMultilevel"/>
    <w:tmpl w:val="7BC81F9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3C461AA2"/>
    <w:multiLevelType w:val="hybridMultilevel"/>
    <w:tmpl w:val="B70617D0"/>
    <w:lvl w:ilvl="0" w:tplc="FD147B7C">
      <w:start w:val="1"/>
      <w:numFmt w:val="lowerRoman"/>
      <w:lvlText w:val="(%1)"/>
      <w:lvlJc w:val="left"/>
      <w:pPr>
        <w:ind w:left="1080" w:hanging="720"/>
      </w:pPr>
      <w:rPr>
        <w:rFonts w:hint="default"/>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D552927"/>
    <w:multiLevelType w:val="hybridMultilevel"/>
    <w:tmpl w:val="D3BEB0BC"/>
    <w:lvl w:ilvl="0" w:tplc="E328109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433346CC"/>
    <w:multiLevelType w:val="hybridMultilevel"/>
    <w:tmpl w:val="93B2835E"/>
    <w:lvl w:ilvl="0" w:tplc="4D788CE4">
      <w:start w:val="1"/>
      <w:numFmt w:val="lowerRoman"/>
      <w:lvlText w:val="(%1)"/>
      <w:lvlJc w:val="left"/>
      <w:pPr>
        <w:ind w:left="720" w:hanging="72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 w15:restartNumberingAfterBreak="0">
    <w:nsid w:val="4BFB1E0C"/>
    <w:multiLevelType w:val="hybridMultilevel"/>
    <w:tmpl w:val="342C022E"/>
    <w:lvl w:ilvl="0" w:tplc="040A000F">
      <w:start w:val="1"/>
      <w:numFmt w:val="decimal"/>
      <w:lvlText w:val="%1."/>
      <w:lvlJc w:val="left"/>
      <w:pPr>
        <w:ind w:left="50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530E52"/>
    <w:multiLevelType w:val="hybridMultilevel"/>
    <w:tmpl w:val="FD322C60"/>
    <w:lvl w:ilvl="0" w:tplc="6980EC9E">
      <w:start w:val="1"/>
      <w:numFmt w:val="bullet"/>
      <w:lvlText w:val="-"/>
      <w:lvlJc w:val="left"/>
      <w:pPr>
        <w:ind w:left="360" w:hanging="360"/>
      </w:pPr>
      <w:rPr>
        <w:rFonts w:ascii="Verdana" w:eastAsiaTheme="minorHAnsi" w:hAnsi="Verdana" w:cstheme="minorBid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15:restartNumberingAfterBreak="0">
    <w:nsid w:val="57F10ACC"/>
    <w:multiLevelType w:val="hybridMultilevel"/>
    <w:tmpl w:val="43160914"/>
    <w:lvl w:ilvl="0" w:tplc="9674484E">
      <w:start w:val="1"/>
      <w:numFmt w:val="lowerRoman"/>
      <w:lvlText w:val="(%1)"/>
      <w:lvlJc w:val="left"/>
      <w:pPr>
        <w:ind w:left="1429" w:hanging="72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7" w15:restartNumberingAfterBreak="0">
    <w:nsid w:val="5B9D7033"/>
    <w:multiLevelType w:val="hybridMultilevel"/>
    <w:tmpl w:val="52666EA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16cid:durableId="1295991086">
    <w:abstractNumId w:val="3"/>
  </w:num>
  <w:num w:numId="2" w16cid:durableId="488981557">
    <w:abstractNumId w:val="6"/>
  </w:num>
  <w:num w:numId="3" w16cid:durableId="1607882413">
    <w:abstractNumId w:val="5"/>
  </w:num>
  <w:num w:numId="4" w16cid:durableId="29308055">
    <w:abstractNumId w:val="2"/>
  </w:num>
  <w:num w:numId="5" w16cid:durableId="465439094">
    <w:abstractNumId w:val="4"/>
  </w:num>
  <w:num w:numId="6" w16cid:durableId="337851450">
    <w:abstractNumId w:val="0"/>
  </w:num>
  <w:num w:numId="7" w16cid:durableId="313680444">
    <w:abstractNumId w:val="1"/>
  </w:num>
  <w:num w:numId="8" w16cid:durableId="49827976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4886-2065-1693, v. 1"/>
    <w:docVar w:name="ndGeneratedStampLocation" w:val="None"/>
  </w:docVars>
  <w:rsids>
    <w:rsidRoot w:val="005D094B"/>
    <w:rsid w:val="00015B6E"/>
    <w:rsid w:val="000772C4"/>
    <w:rsid w:val="000A4068"/>
    <w:rsid w:val="000B7D06"/>
    <w:rsid w:val="0012381A"/>
    <w:rsid w:val="001245F3"/>
    <w:rsid w:val="00130671"/>
    <w:rsid w:val="001A74FF"/>
    <w:rsid w:val="00231CE4"/>
    <w:rsid w:val="002B0476"/>
    <w:rsid w:val="00325AA4"/>
    <w:rsid w:val="003357BE"/>
    <w:rsid w:val="00366835"/>
    <w:rsid w:val="003C6590"/>
    <w:rsid w:val="003E5EF3"/>
    <w:rsid w:val="004A570F"/>
    <w:rsid w:val="004F00CE"/>
    <w:rsid w:val="005D094B"/>
    <w:rsid w:val="00666D9D"/>
    <w:rsid w:val="006961B9"/>
    <w:rsid w:val="00755199"/>
    <w:rsid w:val="00757282"/>
    <w:rsid w:val="007C7526"/>
    <w:rsid w:val="0084333E"/>
    <w:rsid w:val="00886F62"/>
    <w:rsid w:val="008F0986"/>
    <w:rsid w:val="00927FBB"/>
    <w:rsid w:val="00977348"/>
    <w:rsid w:val="009D6871"/>
    <w:rsid w:val="00A13DAC"/>
    <w:rsid w:val="00A2645A"/>
    <w:rsid w:val="00A66FE2"/>
    <w:rsid w:val="00AB1607"/>
    <w:rsid w:val="00AB3F0A"/>
    <w:rsid w:val="00AB550D"/>
    <w:rsid w:val="00AD27E2"/>
    <w:rsid w:val="00B03CB7"/>
    <w:rsid w:val="00B73D95"/>
    <w:rsid w:val="00BF5F0C"/>
    <w:rsid w:val="00C52F4E"/>
    <w:rsid w:val="00C81F81"/>
    <w:rsid w:val="00C96CBA"/>
    <w:rsid w:val="00CC5EF5"/>
    <w:rsid w:val="00CE2781"/>
    <w:rsid w:val="00D01C7B"/>
    <w:rsid w:val="00D02FEE"/>
    <w:rsid w:val="00DA77A7"/>
    <w:rsid w:val="00DD5574"/>
    <w:rsid w:val="00DE7F62"/>
    <w:rsid w:val="00E40B4B"/>
    <w:rsid w:val="00EC38BF"/>
    <w:rsid w:val="00F36C11"/>
    <w:rsid w:val="00F540C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D2DDF"/>
  <w15:chartTrackingRefBased/>
  <w15:docId w15:val="{FA7699AA-8610-473E-9A32-0A0C27DF3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94B"/>
    <w:rPr>
      <w:rFonts w:asciiTheme="minorHAnsi" w:hAnsiTheme="minorHAns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D094B"/>
    <w:pPr>
      <w:ind w:left="720"/>
      <w:contextualSpacing/>
    </w:pPr>
  </w:style>
  <w:style w:type="paragraph" w:styleId="Encabezado">
    <w:name w:val="header"/>
    <w:basedOn w:val="Normal"/>
    <w:link w:val="EncabezadoCar"/>
    <w:uiPriority w:val="99"/>
    <w:unhideWhenUsed/>
    <w:rsid w:val="005D094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D094B"/>
    <w:rPr>
      <w:rFonts w:asciiTheme="minorHAnsi" w:hAnsiTheme="minorHAnsi"/>
      <w:lang w:val="es-ES"/>
    </w:rPr>
  </w:style>
  <w:style w:type="paragraph" w:styleId="Piedepgina">
    <w:name w:val="footer"/>
    <w:basedOn w:val="Normal"/>
    <w:link w:val="PiedepginaCar"/>
    <w:uiPriority w:val="99"/>
    <w:unhideWhenUsed/>
    <w:rsid w:val="005D094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D094B"/>
    <w:rPr>
      <w:rFonts w:asciiTheme="minorHAnsi" w:hAnsiTheme="minorHAnsi"/>
      <w:lang w:val="es-ES"/>
    </w:rPr>
  </w:style>
  <w:style w:type="paragraph" w:styleId="Revisin">
    <w:name w:val="Revision"/>
    <w:hidden/>
    <w:uiPriority w:val="99"/>
    <w:semiHidden/>
    <w:rsid w:val="003C6590"/>
    <w:pPr>
      <w:spacing w:after="0" w:line="240" w:lineRule="auto"/>
    </w:pPr>
    <w:rPr>
      <w:rFonts w:asciiTheme="minorHAnsi" w:hAnsiTheme="minorHAnsi"/>
      <w:lang w:val="es-ES"/>
    </w:rPr>
  </w:style>
  <w:style w:type="character" w:styleId="Refdecomentario">
    <w:name w:val="annotation reference"/>
    <w:basedOn w:val="Fuentedeprrafopredeter"/>
    <w:uiPriority w:val="99"/>
    <w:semiHidden/>
    <w:unhideWhenUsed/>
    <w:rsid w:val="0084333E"/>
    <w:rPr>
      <w:sz w:val="16"/>
      <w:szCs w:val="16"/>
    </w:rPr>
  </w:style>
  <w:style w:type="paragraph" w:styleId="Textocomentario">
    <w:name w:val="annotation text"/>
    <w:basedOn w:val="Normal"/>
    <w:link w:val="TextocomentarioCar"/>
    <w:uiPriority w:val="99"/>
    <w:unhideWhenUsed/>
    <w:rsid w:val="0084333E"/>
    <w:pPr>
      <w:spacing w:line="240" w:lineRule="auto"/>
    </w:pPr>
    <w:rPr>
      <w:sz w:val="20"/>
      <w:szCs w:val="20"/>
    </w:rPr>
  </w:style>
  <w:style w:type="character" w:customStyle="1" w:styleId="TextocomentarioCar">
    <w:name w:val="Texto comentario Car"/>
    <w:basedOn w:val="Fuentedeprrafopredeter"/>
    <w:link w:val="Textocomentario"/>
    <w:uiPriority w:val="99"/>
    <w:rsid w:val="0084333E"/>
    <w:rPr>
      <w:rFonts w:asciiTheme="minorHAnsi" w:hAnsiTheme="minorHAnsi"/>
      <w:sz w:val="20"/>
      <w:szCs w:val="20"/>
      <w:lang w:val="es-ES"/>
    </w:rPr>
  </w:style>
  <w:style w:type="paragraph" w:styleId="Asuntodelcomentario">
    <w:name w:val="annotation subject"/>
    <w:basedOn w:val="Textocomentario"/>
    <w:next w:val="Textocomentario"/>
    <w:link w:val="AsuntodelcomentarioCar"/>
    <w:uiPriority w:val="99"/>
    <w:semiHidden/>
    <w:unhideWhenUsed/>
    <w:rsid w:val="0084333E"/>
    <w:rPr>
      <w:b/>
      <w:bCs/>
    </w:rPr>
  </w:style>
  <w:style w:type="character" w:customStyle="1" w:styleId="AsuntodelcomentarioCar">
    <w:name w:val="Asunto del comentario Car"/>
    <w:basedOn w:val="TextocomentarioCar"/>
    <w:link w:val="Asuntodelcomentario"/>
    <w:uiPriority w:val="99"/>
    <w:semiHidden/>
    <w:rsid w:val="0084333E"/>
    <w:rPr>
      <w:rFonts w:asciiTheme="minorHAnsi" w:hAnsiTheme="minorHAnsi"/>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FC2C5-2D6B-40AE-B8C4-941196BE1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860</Words>
  <Characters>4732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Munive Ponce</dc:creator>
  <cp:keywords/>
  <dc:description/>
  <cp:lastModifiedBy>Rafaela Chumpitazi</cp:lastModifiedBy>
  <cp:revision>14</cp:revision>
  <dcterms:created xsi:type="dcterms:W3CDTF">2023-03-31T20:36:00Z</dcterms:created>
  <dcterms:modified xsi:type="dcterms:W3CDTF">2024-03-14T19:28:00Z</dcterms:modified>
</cp:coreProperties>
</file>